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66" w:rsidRPr="00E06B64" w:rsidRDefault="00E06B64" w:rsidP="00E06B64">
      <w:pPr>
        <w:pBdr>
          <w:bottom w:val="single" w:sz="4" w:space="1" w:color="auto"/>
        </w:pBdr>
        <w:jc w:val="center"/>
        <w:rPr>
          <w:b/>
        </w:rPr>
      </w:pPr>
      <w:r w:rsidRPr="00E06B64">
        <w:rPr>
          <w:b/>
        </w:rPr>
        <w:t>VO 6. 4. 2021</w:t>
      </w:r>
    </w:p>
    <w:p w:rsidR="00E06B64" w:rsidRDefault="00E06B64" w:rsidP="00E06B64">
      <w:pPr>
        <w:jc w:val="center"/>
        <w:rPr>
          <w:b/>
        </w:rPr>
      </w:pPr>
      <w:r w:rsidRPr="00E06B64">
        <w:rPr>
          <w:b/>
          <w:highlight w:val="yellow"/>
        </w:rPr>
        <w:t>Plán online hodiny (pro chybějící)</w:t>
      </w:r>
    </w:p>
    <w:p w:rsidR="00E06B64" w:rsidRPr="00E06B64" w:rsidRDefault="00E06B64" w:rsidP="00E06B64">
      <w:pPr>
        <w:rPr>
          <w:b/>
          <w:color w:val="FF0000"/>
          <w:u w:val="single"/>
        </w:rPr>
      </w:pPr>
      <w:bookmarkStart w:id="0" w:name="_GoBack"/>
      <w:r w:rsidRPr="00E06B64">
        <w:rPr>
          <w:b/>
          <w:color w:val="FF0000"/>
          <w:u w:val="single"/>
        </w:rPr>
        <w:t>Učebnice str. 68 – 69</w:t>
      </w:r>
    </w:p>
    <w:p w:rsidR="00E06B64" w:rsidRPr="00E06B64" w:rsidRDefault="00E06B64" w:rsidP="00E06B64">
      <w:pPr>
        <w:rPr>
          <w:b/>
          <w:color w:val="FF0000"/>
          <w:u w:val="single"/>
        </w:rPr>
      </w:pPr>
      <w:r w:rsidRPr="00E06B64">
        <w:rPr>
          <w:b/>
          <w:color w:val="FF0000"/>
          <w:u w:val="single"/>
        </w:rPr>
        <w:t xml:space="preserve">Zápis z hodiny </w:t>
      </w:r>
    </w:p>
    <w:bookmarkEnd w:id="0"/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  <w:b/>
          <w:u w:val="single"/>
        </w:rPr>
        <w:t>Ústava ČR</w:t>
      </w:r>
      <w:r>
        <w:rPr>
          <w:rFonts w:cstheme="minorHAnsi"/>
        </w:rPr>
        <w:t xml:space="preserve"> = nejvyšší zákon státu, skládá se z preambule (úvodní část), z osmi hlav a z listiny základních práv a svobod 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Hlavy ústavy: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první </w:t>
      </w:r>
      <w:r>
        <w:rPr>
          <w:rFonts w:cstheme="minorHAnsi"/>
        </w:rPr>
        <w:t>– Základní ustanovení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druhá </w:t>
      </w:r>
      <w:r>
        <w:rPr>
          <w:rFonts w:cstheme="minorHAnsi"/>
        </w:rPr>
        <w:t>– Moc zákonodárná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třetí </w:t>
      </w:r>
      <w:r>
        <w:rPr>
          <w:rFonts w:cstheme="minorHAnsi"/>
        </w:rPr>
        <w:t>– Moc výkonná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čtvrtá </w:t>
      </w:r>
      <w:r>
        <w:rPr>
          <w:rFonts w:cstheme="minorHAnsi"/>
        </w:rPr>
        <w:t>– Moc soudní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pátá </w:t>
      </w:r>
      <w:r>
        <w:rPr>
          <w:rFonts w:cstheme="minorHAnsi"/>
        </w:rPr>
        <w:t>– Nejvyšší kontrolní úřad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šestá </w:t>
      </w:r>
      <w:r>
        <w:rPr>
          <w:rFonts w:cstheme="minorHAnsi"/>
        </w:rPr>
        <w:t>– Česká národní banka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sedmá </w:t>
      </w:r>
      <w:r>
        <w:rPr>
          <w:rFonts w:cstheme="minorHAnsi"/>
        </w:rPr>
        <w:t>– Územní samospráva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osmá </w:t>
      </w:r>
      <w:r>
        <w:rPr>
          <w:rFonts w:cstheme="minorHAnsi"/>
        </w:rPr>
        <w:t>– Přechodná a závěrečná ustanovení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cstheme="minorHAnsi"/>
        </w:rPr>
      </w:pPr>
      <w:r>
        <w:rPr>
          <w:rFonts w:ascii="Calibri" w:hAnsi="Calibri"/>
          <w:b/>
          <w:u w:val="single"/>
        </w:rPr>
        <w:t>Listina základních práv a svobod</w:t>
      </w:r>
      <w:r>
        <w:rPr>
          <w:rFonts w:ascii="Calibri" w:hAnsi="Calibri"/>
        </w:rPr>
        <w:t xml:space="preserve"> = je součástí ústavního pořádku České republiky. Listina je členěna do 6 hlav a 44 preambulí (článků)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cstheme="minorHAnsi"/>
        </w:rPr>
      </w:pPr>
      <w:r>
        <w:rPr>
          <w:rFonts w:ascii="Calibri" w:hAnsi="Calibri"/>
          <w:b/>
          <w:u w:val="single"/>
        </w:rPr>
        <w:t>Hlavy Listiny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první –</w:t>
      </w:r>
      <w:r>
        <w:rPr>
          <w:rFonts w:cstheme="minorHAnsi"/>
        </w:rPr>
        <w:t xml:space="preserve"> Obecná ustanovení 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druhá</w:t>
      </w:r>
      <w:r>
        <w:rPr>
          <w:rFonts w:cstheme="minorHAnsi"/>
        </w:rPr>
        <w:t xml:space="preserve"> – Lidská práva a základní svobody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třetí</w:t>
      </w:r>
      <w:r>
        <w:rPr>
          <w:rFonts w:cstheme="minorHAnsi"/>
        </w:rPr>
        <w:t xml:space="preserve"> – Práva národnostních a etnických menšin 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čtvrtá</w:t>
      </w:r>
      <w:r>
        <w:rPr>
          <w:rFonts w:cstheme="minorHAnsi"/>
        </w:rPr>
        <w:t xml:space="preserve"> – Hospodářská, sociální a kulturní práva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pátá</w:t>
      </w:r>
      <w:r>
        <w:rPr>
          <w:rFonts w:cstheme="minorHAnsi"/>
        </w:rPr>
        <w:t xml:space="preserve"> – Právo na soudní a jinou právní ochranu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šestá</w:t>
      </w:r>
      <w:r>
        <w:rPr>
          <w:rFonts w:cstheme="minorHAnsi"/>
        </w:rPr>
        <w:t xml:space="preserve"> – Ustanovení společná </w:t>
      </w:r>
    </w:p>
    <w:p w:rsidR="00E06B64" w:rsidRDefault="00E06B64"/>
    <w:sectPr w:rsidR="00E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803"/>
    <w:multiLevelType w:val="hybridMultilevel"/>
    <w:tmpl w:val="BCC8C158"/>
    <w:lvl w:ilvl="0" w:tplc="F5B02A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BF658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68859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AAA8E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28E608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6A5B3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A87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BFAA30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22EE48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4"/>
    <w:rsid w:val="00E06B64"/>
    <w:rsid w:val="00E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CA0E"/>
  <w15:chartTrackingRefBased/>
  <w15:docId w15:val="{AC4F1B61-2806-4219-B722-97B773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2021-04-06T08:51:00Z</dcterms:created>
  <dcterms:modified xsi:type="dcterms:W3CDTF">2021-04-06T08:52:00Z</dcterms:modified>
</cp:coreProperties>
</file>